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7E20" w14:textId="77777777" w:rsidR="00FC0B22" w:rsidRPr="00E87E10" w:rsidRDefault="00FC0B22" w:rsidP="00FC0B22">
      <w:pPr>
        <w:shd w:val="clear" w:color="auto" w:fill="FFFFFF"/>
        <w:spacing w:after="0" w:line="240" w:lineRule="auto"/>
        <w:jc w:val="center"/>
        <w:rPr>
          <w:rFonts w:ascii="Arial" w:hAnsi="Arial" w:cs="Arial"/>
          <w:b/>
          <w:bCs/>
          <w:color w:val="202124"/>
          <w:u w:val="single"/>
          <w:shd w:val="clear" w:color="auto" w:fill="FFFFFF"/>
        </w:rPr>
      </w:pPr>
      <w:r w:rsidRPr="00E87E10">
        <w:rPr>
          <w:rFonts w:ascii="Arial" w:hAnsi="Arial" w:cs="Arial"/>
          <w:b/>
          <w:bCs/>
          <w:color w:val="202124"/>
          <w:u w:val="single"/>
          <w:shd w:val="clear" w:color="auto" w:fill="FFFFFF"/>
        </w:rPr>
        <w:t>COMMUNITY INFRASTRUCTURE LEVY (CIL)</w:t>
      </w:r>
    </w:p>
    <w:p w14:paraId="43318025" w14:textId="77777777" w:rsidR="00FC0B22" w:rsidRPr="00E87E10" w:rsidRDefault="00FC0B22" w:rsidP="00FC0B22">
      <w:pPr>
        <w:shd w:val="clear" w:color="auto" w:fill="FFFFFF"/>
        <w:spacing w:after="0" w:line="240" w:lineRule="auto"/>
        <w:jc w:val="center"/>
        <w:rPr>
          <w:rFonts w:ascii="Arial" w:eastAsia="Times New Roman" w:hAnsi="Arial" w:cs="Arial"/>
          <w:b/>
          <w:bCs/>
          <w:color w:val="222222"/>
          <w:u w:val="single"/>
          <w:lang w:eastAsia="en-GB"/>
        </w:rPr>
      </w:pPr>
      <w:r w:rsidRPr="00E87E10">
        <w:rPr>
          <w:rFonts w:ascii="Arial" w:hAnsi="Arial" w:cs="Arial"/>
          <w:b/>
          <w:bCs/>
          <w:color w:val="202124"/>
          <w:u w:val="single"/>
          <w:shd w:val="clear" w:color="auto" w:fill="FFFFFF"/>
        </w:rPr>
        <w:t xml:space="preserve">Funding Report For </w:t>
      </w:r>
      <w:r w:rsidRPr="00E87E10">
        <w:rPr>
          <w:rFonts w:ascii="Arial" w:eastAsia="Times New Roman" w:hAnsi="Arial" w:cs="Arial"/>
          <w:b/>
          <w:bCs/>
          <w:color w:val="222222"/>
          <w:u w:val="single"/>
          <w:lang w:eastAsia="en-GB"/>
        </w:rPr>
        <w:t xml:space="preserve">*YOUR </w:t>
      </w:r>
      <w:proofErr w:type="gramStart"/>
      <w:r w:rsidRPr="00E87E10">
        <w:rPr>
          <w:rFonts w:ascii="Arial" w:eastAsia="Times New Roman" w:hAnsi="Arial" w:cs="Arial"/>
          <w:b/>
          <w:bCs/>
          <w:color w:val="222222"/>
          <w:u w:val="single"/>
          <w:lang w:eastAsia="en-GB"/>
        </w:rPr>
        <w:t>COUNCIL</w:t>
      </w:r>
      <w:proofErr w:type="gramEnd"/>
      <w:r w:rsidRPr="00E87E10">
        <w:rPr>
          <w:rFonts w:ascii="Arial" w:eastAsia="Times New Roman" w:hAnsi="Arial" w:cs="Arial"/>
          <w:b/>
          <w:bCs/>
          <w:color w:val="222222"/>
          <w:u w:val="single"/>
          <w:lang w:eastAsia="en-GB"/>
        </w:rPr>
        <w:t xml:space="preserve"> NAME*</w:t>
      </w:r>
    </w:p>
    <w:p w14:paraId="5D0DE235" w14:textId="77777777" w:rsidR="00393917" w:rsidRPr="00E87E10" w:rsidRDefault="00393917" w:rsidP="00FC0B22">
      <w:pPr>
        <w:shd w:val="clear" w:color="auto" w:fill="FFFFFF"/>
        <w:spacing w:after="0" w:line="240" w:lineRule="auto"/>
        <w:jc w:val="center"/>
        <w:rPr>
          <w:rFonts w:ascii="Arial" w:hAnsi="Arial" w:cs="Arial"/>
          <w:b/>
          <w:bCs/>
          <w:color w:val="202124"/>
          <w:u w:val="single"/>
          <w:shd w:val="clear" w:color="auto" w:fill="FFFFFF"/>
        </w:rPr>
      </w:pPr>
    </w:p>
    <w:p w14:paraId="78ABF221" w14:textId="77777777" w:rsidR="00FC0B22" w:rsidRPr="00E87E10" w:rsidRDefault="00FC0B22" w:rsidP="00FC0B22">
      <w:pPr>
        <w:shd w:val="clear" w:color="auto" w:fill="FFFFFF"/>
        <w:spacing w:after="0" w:line="240" w:lineRule="auto"/>
        <w:rPr>
          <w:rFonts w:ascii="Arial" w:hAnsi="Arial" w:cs="Arial"/>
          <w:color w:val="0B0C0C"/>
          <w:shd w:val="clear" w:color="auto" w:fill="FFFFFF"/>
        </w:rPr>
      </w:pPr>
    </w:p>
    <w:p w14:paraId="7774C4E3" w14:textId="77777777" w:rsidR="00FC0B22" w:rsidRPr="00E87E10" w:rsidRDefault="00FC0B22" w:rsidP="00FC0B22">
      <w:pPr>
        <w:shd w:val="clear" w:color="auto" w:fill="FFFFFF"/>
        <w:spacing w:after="0" w:line="240" w:lineRule="auto"/>
        <w:rPr>
          <w:rFonts w:ascii="Arial" w:hAnsi="Arial" w:cs="Arial"/>
          <w:color w:val="000000"/>
          <w:shd w:val="clear" w:color="auto" w:fill="FFFFFF"/>
        </w:rPr>
      </w:pPr>
      <w:r w:rsidRPr="00E87E10">
        <w:rPr>
          <w:rFonts w:ascii="Arial" w:hAnsi="Arial" w:cs="Arial"/>
          <w:color w:val="000000"/>
          <w:shd w:val="clear" w:color="auto" w:fill="FFFFFF"/>
        </w:rPr>
        <w:t xml:space="preserve">The Community Infrastructure Levy (CIL) is a levy that local authorities can charge on developments in their area. CIL income can be used to fund additional infrastructure required to support new development including roads, schools, green </w:t>
      </w:r>
      <w:proofErr w:type="gramStart"/>
      <w:r w:rsidRPr="00E87E10">
        <w:rPr>
          <w:rFonts w:ascii="Arial" w:hAnsi="Arial" w:cs="Arial"/>
          <w:color w:val="000000"/>
          <w:shd w:val="clear" w:color="auto" w:fill="FFFFFF"/>
        </w:rPr>
        <w:t>spaces</w:t>
      </w:r>
      <w:proofErr w:type="gramEnd"/>
      <w:r w:rsidRPr="00E87E10">
        <w:rPr>
          <w:rFonts w:ascii="Arial" w:hAnsi="Arial" w:cs="Arial"/>
          <w:color w:val="000000"/>
          <w:shd w:val="clear" w:color="auto" w:fill="FFFFFF"/>
        </w:rPr>
        <w:t xml:space="preserve"> and community facilities.</w:t>
      </w:r>
    </w:p>
    <w:p w14:paraId="55B21DB1" w14:textId="77777777" w:rsidR="00FC0B22" w:rsidRPr="00E87E10" w:rsidRDefault="00FC0B22" w:rsidP="00FC0B22">
      <w:pPr>
        <w:shd w:val="clear" w:color="auto" w:fill="FFFFFF"/>
        <w:spacing w:after="0" w:line="240" w:lineRule="auto"/>
        <w:rPr>
          <w:rFonts w:ascii="Arial" w:hAnsi="Arial" w:cs="Arial"/>
          <w:color w:val="202124"/>
          <w:shd w:val="clear" w:color="auto" w:fill="FFFFFF"/>
        </w:rPr>
      </w:pPr>
    </w:p>
    <w:p w14:paraId="2D29F86D" w14:textId="77777777" w:rsidR="00FC0B22" w:rsidRPr="00E87E10" w:rsidRDefault="00FC0B22" w:rsidP="00FC0B22">
      <w:pPr>
        <w:shd w:val="clear" w:color="auto" w:fill="FFFFFF"/>
        <w:spacing w:after="0" w:line="240" w:lineRule="auto"/>
        <w:rPr>
          <w:rFonts w:ascii="Arial" w:eastAsia="Times New Roman" w:hAnsi="Arial" w:cs="Arial"/>
          <w:color w:val="222222"/>
          <w:lang w:eastAsia="en-GB"/>
        </w:rPr>
      </w:pPr>
      <w:r w:rsidRPr="00E87E10">
        <w:rPr>
          <w:rFonts w:ascii="Arial" w:eastAsia="Times New Roman" w:hAnsi="Arial" w:cs="Arial"/>
          <w:b/>
          <w:bCs/>
          <w:color w:val="222222"/>
          <w:u w:val="single"/>
          <w:lang w:eastAsia="en-GB"/>
        </w:rPr>
        <w:t>What can neighbourhood funding be spent on?</w:t>
      </w:r>
    </w:p>
    <w:p w14:paraId="3E2C415E" w14:textId="77777777" w:rsidR="00FC0B22" w:rsidRPr="00E87E10" w:rsidRDefault="00FC0B22" w:rsidP="00FC0B22">
      <w:pPr>
        <w:shd w:val="clear" w:color="auto" w:fill="FFFFFF"/>
        <w:spacing w:after="0" w:line="240" w:lineRule="auto"/>
        <w:rPr>
          <w:rFonts w:ascii="Arial" w:eastAsia="Times New Roman" w:hAnsi="Arial" w:cs="Arial"/>
          <w:color w:val="222222"/>
          <w:lang w:eastAsia="en-GB"/>
        </w:rPr>
      </w:pPr>
      <w:r w:rsidRPr="00E87E10">
        <w:rPr>
          <w:rFonts w:ascii="Arial" w:eastAsia="Times New Roman" w:hAnsi="Arial" w:cs="Arial"/>
          <w:b/>
          <w:bCs/>
          <w:color w:val="222222"/>
          <w:lang w:eastAsia="en-GB"/>
        </w:rPr>
        <w:t> </w:t>
      </w:r>
    </w:p>
    <w:p w14:paraId="42D48FD6" w14:textId="77777777" w:rsidR="00FC0B22" w:rsidRPr="00E87E10" w:rsidRDefault="00FC0B22" w:rsidP="00FC0B22">
      <w:pPr>
        <w:shd w:val="clear" w:color="auto" w:fill="FFFFFF"/>
        <w:spacing w:after="0" w:line="240" w:lineRule="auto"/>
        <w:rPr>
          <w:rFonts w:ascii="Arial" w:eastAsia="Times New Roman" w:hAnsi="Arial" w:cs="Arial"/>
          <w:color w:val="222222"/>
          <w:lang w:eastAsia="en-GB"/>
        </w:rPr>
      </w:pPr>
      <w:r w:rsidRPr="00E87E10">
        <w:rPr>
          <w:rFonts w:ascii="Arial" w:eastAsia="Times New Roman" w:hAnsi="Arial" w:cs="Arial"/>
          <w:color w:val="222222"/>
          <w:lang w:eastAsia="en-GB"/>
        </w:rPr>
        <w:t>The neighbourhood portion of the levy can be spent on a wider range of things than the rest of the levy, provided that it meets the requirement to ‘support the development of the area’ (see </w:t>
      </w:r>
      <w:hyperlink r:id="rId5" w:tgtFrame="_blank" w:history="1">
        <w:r w:rsidRPr="00E87E10">
          <w:rPr>
            <w:rFonts w:ascii="Arial" w:eastAsia="Times New Roman" w:hAnsi="Arial" w:cs="Arial"/>
            <w:color w:val="1155CC"/>
            <w:u w:val="single"/>
            <w:lang w:eastAsia="en-GB"/>
          </w:rPr>
          <w:t>regulation 59C</w:t>
        </w:r>
      </w:hyperlink>
      <w:r w:rsidRPr="00E87E10">
        <w:rPr>
          <w:rFonts w:ascii="Arial" w:eastAsia="Times New Roman" w:hAnsi="Arial" w:cs="Arial"/>
          <w:color w:val="222222"/>
          <w:lang w:eastAsia="en-GB"/>
        </w:rPr>
        <w:t> for details). The wider definition means that the neighbourhood portion can be spent on things other than infrastructure (as defined in the Community Infrastructure Levy regulations). For example, the pot could be used to fund affordable housing where it would support the development of the area by addressing the demands that development places on the area.</w:t>
      </w:r>
    </w:p>
    <w:p w14:paraId="6F9ED2AA" w14:textId="77777777" w:rsidR="00FC0B22" w:rsidRPr="00E87E10" w:rsidRDefault="00FC0B22" w:rsidP="00FC0B22">
      <w:pPr>
        <w:shd w:val="clear" w:color="auto" w:fill="FFFFFF"/>
        <w:spacing w:after="0" w:line="240" w:lineRule="auto"/>
        <w:rPr>
          <w:rFonts w:ascii="Arial" w:eastAsia="Times New Roman" w:hAnsi="Arial" w:cs="Arial"/>
          <w:color w:val="222222"/>
          <w:lang w:eastAsia="en-GB"/>
        </w:rPr>
      </w:pPr>
      <w:r w:rsidRPr="00E87E10">
        <w:rPr>
          <w:rFonts w:ascii="Arial" w:eastAsia="Times New Roman" w:hAnsi="Arial" w:cs="Arial"/>
          <w:color w:val="222222"/>
          <w:lang w:eastAsia="en-GB"/>
        </w:rPr>
        <w:t> </w:t>
      </w:r>
    </w:p>
    <w:p w14:paraId="3B04C05D" w14:textId="77777777" w:rsidR="00FC0B22" w:rsidRPr="00E87E10" w:rsidRDefault="00FC0B22" w:rsidP="00FC0B22">
      <w:pPr>
        <w:shd w:val="clear" w:color="auto" w:fill="FFFFFF"/>
        <w:spacing w:after="0" w:line="240" w:lineRule="auto"/>
        <w:rPr>
          <w:rFonts w:ascii="Arial" w:eastAsia="Times New Roman" w:hAnsi="Arial" w:cs="Arial"/>
          <w:color w:val="222222"/>
          <w:lang w:eastAsia="en-GB"/>
        </w:rPr>
      </w:pPr>
      <w:r w:rsidRPr="00E87E10">
        <w:rPr>
          <w:rFonts w:ascii="Arial" w:eastAsia="Times New Roman" w:hAnsi="Arial" w:cs="Arial"/>
          <w:color w:val="222222"/>
          <w:lang w:eastAsia="en-GB"/>
        </w:rPr>
        <w:t xml:space="preserve">Once the levy is in place, parish, </w:t>
      </w:r>
      <w:proofErr w:type="gramStart"/>
      <w:r w:rsidRPr="00E87E10">
        <w:rPr>
          <w:rFonts w:ascii="Arial" w:eastAsia="Times New Roman" w:hAnsi="Arial" w:cs="Arial"/>
          <w:color w:val="222222"/>
          <w:lang w:eastAsia="en-GB"/>
        </w:rPr>
        <w:t>town</w:t>
      </w:r>
      <w:proofErr w:type="gramEnd"/>
      <w:r w:rsidRPr="00E87E10">
        <w:rPr>
          <w:rFonts w:ascii="Arial" w:eastAsia="Times New Roman" w:hAnsi="Arial" w:cs="Arial"/>
          <w:color w:val="222222"/>
          <w:lang w:eastAsia="en-GB"/>
        </w:rPr>
        <w:t xml:space="preserve"> and community councils should work closely with their neighbouring councils and the charging authority to agree on infrastructure spending priorities. If the parish, </w:t>
      </w:r>
      <w:proofErr w:type="gramStart"/>
      <w:r w:rsidRPr="00E87E10">
        <w:rPr>
          <w:rFonts w:ascii="Arial" w:eastAsia="Times New Roman" w:hAnsi="Arial" w:cs="Arial"/>
          <w:color w:val="222222"/>
          <w:lang w:eastAsia="en-GB"/>
        </w:rPr>
        <w:t>town</w:t>
      </w:r>
      <w:proofErr w:type="gramEnd"/>
      <w:r w:rsidRPr="00E87E10">
        <w:rPr>
          <w:rFonts w:ascii="Arial" w:eastAsia="Times New Roman" w:hAnsi="Arial" w:cs="Arial"/>
          <w:color w:val="222222"/>
          <w:lang w:eastAsia="en-GB"/>
        </w:rPr>
        <w:t xml:space="preserve"> or community council shares the priorities of the charging authority, they may agree that the charging authority should retain the neighbourhood funding to spend on that infrastructure. It may be that this infrastructure (</w:t>
      </w:r>
      <w:proofErr w:type="gramStart"/>
      <w:r w:rsidRPr="00E87E10">
        <w:rPr>
          <w:rFonts w:ascii="Arial" w:eastAsia="Times New Roman" w:hAnsi="Arial" w:cs="Arial"/>
          <w:color w:val="222222"/>
          <w:lang w:eastAsia="en-GB"/>
        </w:rPr>
        <w:t>e.g.</w:t>
      </w:r>
      <w:proofErr w:type="gramEnd"/>
      <w:r w:rsidRPr="00E87E10">
        <w:rPr>
          <w:rFonts w:ascii="Arial" w:eastAsia="Times New Roman" w:hAnsi="Arial" w:cs="Arial"/>
          <w:color w:val="222222"/>
          <w:lang w:eastAsia="en-GB"/>
        </w:rPr>
        <w:t xml:space="preserve"> a school) is not in the parish, town or community council’s administrative area, but will support the development of the area.</w:t>
      </w:r>
    </w:p>
    <w:p w14:paraId="40548C52" w14:textId="77777777" w:rsidR="00FC0B22" w:rsidRPr="00E87E10" w:rsidRDefault="00FC0B22" w:rsidP="00FC0B22">
      <w:pPr>
        <w:shd w:val="clear" w:color="auto" w:fill="FFFFFF"/>
        <w:spacing w:after="0" w:line="240" w:lineRule="auto"/>
        <w:rPr>
          <w:rFonts w:ascii="Arial" w:eastAsia="Times New Roman" w:hAnsi="Arial" w:cs="Arial"/>
          <w:color w:val="222222"/>
          <w:lang w:eastAsia="en-GB"/>
        </w:rPr>
      </w:pPr>
      <w:r w:rsidRPr="00E87E10">
        <w:rPr>
          <w:rFonts w:ascii="Arial" w:eastAsia="Times New Roman" w:hAnsi="Arial" w:cs="Arial"/>
          <w:color w:val="222222"/>
          <w:lang w:eastAsia="en-GB"/>
        </w:rPr>
        <w:t> </w:t>
      </w:r>
    </w:p>
    <w:p w14:paraId="06980C25" w14:textId="77777777" w:rsidR="00FC0B22" w:rsidRPr="00E87E10" w:rsidRDefault="00FC0B22" w:rsidP="00FC0B22">
      <w:pPr>
        <w:shd w:val="clear" w:color="auto" w:fill="FFFFFF"/>
        <w:spacing w:after="0" w:line="240" w:lineRule="auto"/>
        <w:rPr>
          <w:rFonts w:ascii="Arial" w:eastAsia="Times New Roman" w:hAnsi="Arial" w:cs="Arial"/>
          <w:color w:val="222222"/>
          <w:lang w:eastAsia="en-GB"/>
        </w:rPr>
      </w:pPr>
      <w:r w:rsidRPr="00E87E10">
        <w:rPr>
          <w:rFonts w:ascii="Arial" w:eastAsia="Times New Roman" w:hAnsi="Arial" w:cs="Arial"/>
          <w:color w:val="222222"/>
          <w:lang w:eastAsia="en-GB"/>
        </w:rPr>
        <w:t>If a parish, town or community council does not spend its levy share within 5 years of receipt, or does not spend it on initiatives that support the development of the area, the charging authority may require it to repay some or all of those funds to the charging authority (see </w:t>
      </w:r>
      <w:hyperlink r:id="rId6" w:tgtFrame="_blank" w:history="1">
        <w:r w:rsidRPr="00E87E10">
          <w:rPr>
            <w:rFonts w:ascii="Arial" w:eastAsia="Times New Roman" w:hAnsi="Arial" w:cs="Arial"/>
            <w:color w:val="1155CC"/>
            <w:lang w:eastAsia="en-GB"/>
          </w:rPr>
          <w:t>regulation 59E(10)</w:t>
        </w:r>
      </w:hyperlink>
      <w:r w:rsidRPr="00E87E10">
        <w:rPr>
          <w:rFonts w:ascii="Arial" w:eastAsia="Times New Roman" w:hAnsi="Arial" w:cs="Arial"/>
          <w:color w:val="222222"/>
          <w:lang w:eastAsia="en-GB"/>
        </w:rPr>
        <w:t> for details). Parish, town and community councils must make arrangements for the proper administration of their financial affairs (see </w:t>
      </w:r>
      <w:hyperlink r:id="rId7" w:tgtFrame="_blank" w:history="1">
        <w:r w:rsidRPr="00E87E10">
          <w:rPr>
            <w:rFonts w:ascii="Arial" w:eastAsia="Times New Roman" w:hAnsi="Arial" w:cs="Arial"/>
            <w:color w:val="1155CC"/>
            <w:u w:val="single"/>
            <w:lang w:eastAsia="en-GB"/>
          </w:rPr>
          <w:t>section 151 of the Local Government Act 1972)</w:t>
        </w:r>
      </w:hyperlink>
      <w:r w:rsidRPr="00E87E10">
        <w:rPr>
          <w:rFonts w:ascii="Arial" w:eastAsia="Times New Roman" w:hAnsi="Arial" w:cs="Arial"/>
          <w:color w:val="222222"/>
          <w:lang w:eastAsia="en-GB"/>
        </w:rPr>
        <w:t>. They must have systems in place to ensure effective financial control (see </w:t>
      </w:r>
      <w:hyperlink r:id="rId8" w:tgtFrame="_blank" w:history="1">
        <w:r w:rsidRPr="00E87E10">
          <w:rPr>
            <w:rFonts w:ascii="Arial" w:eastAsia="Times New Roman" w:hAnsi="Arial" w:cs="Arial"/>
            <w:color w:val="1155CC"/>
            <w:u w:val="single"/>
            <w:lang w:eastAsia="en-GB"/>
          </w:rPr>
          <w:t>Accounts and Audit (England) Regulations 2011</w:t>
        </w:r>
      </w:hyperlink>
      <w:r w:rsidRPr="00E87E10">
        <w:rPr>
          <w:rFonts w:ascii="Arial" w:eastAsia="Times New Roman" w:hAnsi="Arial" w:cs="Arial"/>
          <w:color w:val="222222"/>
          <w:lang w:eastAsia="en-GB"/>
        </w:rPr>
        <w:t> and </w:t>
      </w:r>
      <w:hyperlink r:id="rId9" w:tgtFrame="_blank" w:history="1">
        <w:r w:rsidRPr="00E87E10">
          <w:rPr>
            <w:rFonts w:ascii="Arial" w:eastAsia="Times New Roman" w:hAnsi="Arial" w:cs="Arial"/>
            <w:color w:val="1155CC"/>
            <w:u w:val="single"/>
            <w:lang w:eastAsia="en-GB"/>
          </w:rPr>
          <w:t>Accounts and Audit (Wales) Regulations 2005)</w:t>
        </w:r>
      </w:hyperlink>
      <w:r w:rsidRPr="00E87E10">
        <w:rPr>
          <w:rFonts w:ascii="Arial" w:eastAsia="Times New Roman" w:hAnsi="Arial" w:cs="Arial"/>
          <w:color w:val="222222"/>
          <w:lang w:eastAsia="en-GB"/>
        </w:rPr>
        <w:t>. These requirements also apply when dealing with neighbourhood funding payments under the levy.</w:t>
      </w:r>
    </w:p>
    <w:p w14:paraId="12169F91" w14:textId="77777777" w:rsidR="00FC0B22" w:rsidRPr="00E87E10" w:rsidRDefault="00FC0B22" w:rsidP="00FC0B22">
      <w:pPr>
        <w:shd w:val="clear" w:color="auto" w:fill="FFFFFF"/>
        <w:spacing w:after="0" w:line="240" w:lineRule="auto"/>
        <w:rPr>
          <w:rFonts w:ascii="Arial" w:eastAsia="Times New Roman" w:hAnsi="Arial" w:cs="Arial"/>
          <w:color w:val="222222"/>
          <w:lang w:eastAsia="en-GB"/>
        </w:rPr>
      </w:pPr>
    </w:p>
    <w:p w14:paraId="08F43307" w14:textId="0A7F7E21" w:rsidR="00B15C4E" w:rsidRPr="00E87E10" w:rsidRDefault="00FC0B22" w:rsidP="003B0ED8">
      <w:pPr>
        <w:shd w:val="clear" w:color="auto" w:fill="FFFFFF"/>
        <w:spacing w:after="0" w:line="240" w:lineRule="auto"/>
        <w:rPr>
          <w:rFonts w:ascii="Arial" w:eastAsia="Times New Roman" w:hAnsi="Arial" w:cs="Arial"/>
          <w:color w:val="222222"/>
          <w:lang w:eastAsia="en-GB"/>
        </w:rPr>
      </w:pPr>
      <w:r w:rsidRPr="00E87E10">
        <w:rPr>
          <w:rFonts w:ascii="Arial" w:eastAsia="Times New Roman" w:hAnsi="Arial" w:cs="Arial"/>
          <w:color w:val="222222"/>
          <w:lang w:eastAsia="en-GB"/>
        </w:rPr>
        <w:t>For each year when</w:t>
      </w:r>
      <w:r w:rsidR="00E87E10" w:rsidRPr="00E87E10">
        <w:rPr>
          <w:rFonts w:ascii="Arial" w:eastAsia="Times New Roman" w:hAnsi="Arial" w:cs="Arial"/>
          <w:color w:val="222222"/>
          <w:lang w:eastAsia="en-GB"/>
        </w:rPr>
        <w:t xml:space="preserve"> Ropley Parish Council</w:t>
      </w:r>
      <w:r w:rsidRPr="00E87E10">
        <w:rPr>
          <w:rFonts w:ascii="Arial" w:eastAsia="Times New Roman" w:hAnsi="Arial" w:cs="Arial"/>
          <w:b/>
          <w:bCs/>
          <w:color w:val="222222"/>
          <w:lang w:eastAsia="en-GB"/>
        </w:rPr>
        <w:t xml:space="preserve"> </w:t>
      </w:r>
      <w:r w:rsidRPr="00E87E10">
        <w:rPr>
          <w:rFonts w:ascii="Arial" w:eastAsia="Times New Roman" w:hAnsi="Arial" w:cs="Arial"/>
          <w:color w:val="222222"/>
          <w:lang w:eastAsia="en-GB"/>
        </w:rPr>
        <w:t>has received neighbourhood funds through the levy, a report must published with the information specified in </w:t>
      </w:r>
      <w:hyperlink r:id="rId10" w:tgtFrame="_blank" w:history="1">
        <w:r w:rsidRPr="00E87E10">
          <w:rPr>
            <w:rFonts w:ascii="Arial" w:eastAsia="Times New Roman" w:hAnsi="Arial" w:cs="Arial"/>
            <w:color w:val="1155CC"/>
            <w:u w:val="single"/>
            <w:lang w:eastAsia="en-GB"/>
          </w:rPr>
          <w:t>regulation 62A</w:t>
        </w:r>
      </w:hyperlink>
      <w:r w:rsidRPr="00E87E10">
        <w:rPr>
          <w:rFonts w:ascii="Arial" w:eastAsia="Times New Roman" w:hAnsi="Arial" w:cs="Arial"/>
          <w:color w:val="222222"/>
          <w:lang w:eastAsia="en-GB"/>
        </w:rPr>
        <w:t xml:space="preserve">. The information must be published on the </w:t>
      </w:r>
      <w:r w:rsidR="00E87E10" w:rsidRPr="00E87E10">
        <w:rPr>
          <w:rFonts w:ascii="Arial" w:eastAsia="Times New Roman" w:hAnsi="Arial" w:cs="Arial"/>
          <w:b/>
          <w:bCs/>
          <w:color w:val="222222"/>
          <w:lang w:eastAsia="en-GB"/>
        </w:rPr>
        <w:t>Ropley Parish Council</w:t>
      </w:r>
      <w:r w:rsidRPr="00E87E10">
        <w:rPr>
          <w:rFonts w:ascii="Arial" w:eastAsia="Times New Roman" w:hAnsi="Arial" w:cs="Arial"/>
          <w:b/>
          <w:bCs/>
          <w:color w:val="222222"/>
          <w:lang w:eastAsia="en-GB"/>
        </w:rPr>
        <w:t xml:space="preserve"> </w:t>
      </w:r>
      <w:r w:rsidRPr="00E87E10">
        <w:rPr>
          <w:rFonts w:ascii="Arial" w:eastAsia="Times New Roman" w:hAnsi="Arial" w:cs="Arial"/>
          <w:color w:val="222222"/>
          <w:lang w:eastAsia="en-GB"/>
        </w:rPr>
        <w:t>website (or on the charging authority’s (EHDC) website). Details are shown below.</w:t>
      </w:r>
    </w:p>
    <w:p w14:paraId="1B56539C" w14:textId="77777777" w:rsidR="003B0ED8" w:rsidRPr="00E87E10" w:rsidRDefault="003B0ED8" w:rsidP="003B0ED8">
      <w:pPr>
        <w:shd w:val="clear" w:color="auto" w:fill="FFFFFF"/>
        <w:spacing w:after="0" w:line="240" w:lineRule="auto"/>
        <w:rPr>
          <w:rFonts w:ascii="Arial" w:eastAsia="Times New Roman" w:hAnsi="Arial" w:cs="Arial"/>
          <w:color w:val="222222"/>
          <w:lang w:eastAsia="en-GB"/>
        </w:rPr>
      </w:pPr>
    </w:p>
    <w:tbl>
      <w:tblPr>
        <w:tblStyle w:val="TableGrid"/>
        <w:tblW w:w="0" w:type="auto"/>
        <w:jc w:val="center"/>
        <w:tblLook w:val="04A0" w:firstRow="1" w:lastRow="0" w:firstColumn="1" w:lastColumn="0" w:noHBand="0" w:noVBand="1"/>
      </w:tblPr>
      <w:tblGrid>
        <w:gridCol w:w="6799"/>
        <w:gridCol w:w="1195"/>
      </w:tblGrid>
      <w:tr w:rsidR="00FC0B22" w:rsidRPr="00E87E10" w14:paraId="358C28C3" w14:textId="77777777" w:rsidTr="00D53CBD">
        <w:trPr>
          <w:jc w:val="center"/>
        </w:trPr>
        <w:tc>
          <w:tcPr>
            <w:tcW w:w="6799" w:type="dxa"/>
          </w:tcPr>
          <w:p w14:paraId="59D246C3" w14:textId="5FEF1F1A" w:rsidR="00FC0B22" w:rsidRPr="00E87E10" w:rsidRDefault="00E87E10" w:rsidP="00517AF1">
            <w:pPr>
              <w:jc w:val="center"/>
              <w:rPr>
                <w:rFonts w:ascii="Arial" w:eastAsia="Times New Roman" w:hAnsi="Arial" w:cs="Arial"/>
                <w:b/>
                <w:bCs/>
                <w:color w:val="222222"/>
                <w:lang w:eastAsia="en-GB"/>
              </w:rPr>
            </w:pPr>
            <w:r w:rsidRPr="00E87E10">
              <w:rPr>
                <w:rFonts w:ascii="Arial" w:eastAsia="Times New Roman" w:hAnsi="Arial" w:cs="Arial"/>
                <w:b/>
                <w:bCs/>
                <w:color w:val="222222"/>
                <w:lang w:eastAsia="en-GB"/>
              </w:rPr>
              <w:t>Ropley Parish Council</w:t>
            </w:r>
            <w:r w:rsidR="00FC0B22" w:rsidRPr="00E87E10">
              <w:rPr>
                <w:rFonts w:ascii="Arial" w:eastAsia="Times New Roman" w:hAnsi="Arial" w:cs="Arial"/>
                <w:b/>
                <w:bCs/>
                <w:color w:val="222222"/>
                <w:lang w:eastAsia="en-GB"/>
              </w:rPr>
              <w:t xml:space="preserve"> – CIL Information</w:t>
            </w:r>
          </w:p>
        </w:tc>
        <w:tc>
          <w:tcPr>
            <w:tcW w:w="1132" w:type="dxa"/>
          </w:tcPr>
          <w:p w14:paraId="72F17E6E" w14:textId="4FE64A10" w:rsidR="00FC0B22" w:rsidRPr="00E87E10" w:rsidRDefault="00E87E10" w:rsidP="00517AF1">
            <w:pPr>
              <w:jc w:val="center"/>
              <w:rPr>
                <w:rFonts w:ascii="Arial" w:eastAsia="Times New Roman" w:hAnsi="Arial" w:cs="Arial"/>
                <w:b/>
                <w:bCs/>
                <w:color w:val="222222"/>
                <w:lang w:eastAsia="en-GB"/>
              </w:rPr>
            </w:pPr>
            <w:r w:rsidRPr="00E87E10">
              <w:rPr>
                <w:rFonts w:ascii="Arial" w:eastAsia="Times New Roman" w:hAnsi="Arial" w:cs="Arial"/>
                <w:b/>
                <w:bCs/>
                <w:color w:val="222222"/>
                <w:lang w:eastAsia="en-GB"/>
              </w:rPr>
              <w:t>2022 23</w:t>
            </w:r>
          </w:p>
        </w:tc>
      </w:tr>
      <w:tr w:rsidR="00FC0B22" w:rsidRPr="00E87E10" w14:paraId="182B21AF" w14:textId="77777777" w:rsidTr="00D53CBD">
        <w:trPr>
          <w:jc w:val="center"/>
        </w:trPr>
        <w:tc>
          <w:tcPr>
            <w:tcW w:w="6799" w:type="dxa"/>
          </w:tcPr>
          <w:p w14:paraId="5D04A2C5" w14:textId="77777777" w:rsidR="00FC0B22" w:rsidRPr="00E87E10" w:rsidRDefault="00FC0B22" w:rsidP="00FC0B22">
            <w:pPr>
              <w:pStyle w:val="ListParagraph"/>
              <w:numPr>
                <w:ilvl w:val="0"/>
                <w:numId w:val="2"/>
              </w:numPr>
              <w:rPr>
                <w:rFonts w:ascii="Arial" w:eastAsia="Times New Roman" w:hAnsi="Arial" w:cs="Arial"/>
                <w:color w:val="222222"/>
                <w:lang w:eastAsia="en-GB"/>
              </w:rPr>
            </w:pPr>
            <w:r w:rsidRPr="00E87E10">
              <w:rPr>
                <w:rFonts w:ascii="Arial" w:eastAsia="Times New Roman" w:hAnsi="Arial" w:cs="Arial"/>
                <w:color w:val="222222"/>
                <w:lang w:eastAsia="en-GB"/>
              </w:rPr>
              <w:t>the total CIL receipts for the reported year;</w:t>
            </w:r>
          </w:p>
        </w:tc>
        <w:tc>
          <w:tcPr>
            <w:tcW w:w="1132" w:type="dxa"/>
          </w:tcPr>
          <w:p w14:paraId="22FB061A" w14:textId="46FDCE75" w:rsidR="00E87E10" w:rsidRPr="00E87E10" w:rsidRDefault="00E87E10" w:rsidP="00E87E10">
            <w:pPr>
              <w:jc w:val="center"/>
              <w:rPr>
                <w:rFonts w:ascii="Arial" w:hAnsi="Arial" w:cs="Arial"/>
              </w:rPr>
            </w:pPr>
            <w:r w:rsidRPr="00E87E10">
              <w:rPr>
                <w:rFonts w:ascii="Arial" w:hAnsi="Arial" w:cs="Arial"/>
              </w:rPr>
              <w:t>27</w:t>
            </w:r>
            <w:r w:rsidRPr="00E87E10">
              <w:rPr>
                <w:rFonts w:ascii="Arial" w:hAnsi="Arial" w:cs="Arial"/>
              </w:rPr>
              <w:t>,</w:t>
            </w:r>
            <w:r w:rsidRPr="00E87E10">
              <w:rPr>
                <w:rFonts w:ascii="Arial" w:hAnsi="Arial" w:cs="Arial"/>
              </w:rPr>
              <w:t>515.53</w:t>
            </w:r>
          </w:p>
          <w:p w14:paraId="15E548EB" w14:textId="77777777" w:rsidR="00FC0B22" w:rsidRPr="00E87E10" w:rsidRDefault="00FC0B22" w:rsidP="00E87E10">
            <w:pPr>
              <w:jc w:val="center"/>
              <w:rPr>
                <w:rFonts w:ascii="Arial" w:eastAsia="Times New Roman" w:hAnsi="Arial" w:cs="Arial"/>
                <w:color w:val="222222"/>
                <w:lang w:eastAsia="en-GB"/>
              </w:rPr>
            </w:pPr>
          </w:p>
        </w:tc>
      </w:tr>
      <w:tr w:rsidR="00FC0B22" w:rsidRPr="00E87E10" w14:paraId="379F29FD" w14:textId="77777777" w:rsidTr="00D53CBD">
        <w:trPr>
          <w:jc w:val="center"/>
        </w:trPr>
        <w:tc>
          <w:tcPr>
            <w:tcW w:w="6799" w:type="dxa"/>
          </w:tcPr>
          <w:p w14:paraId="49B806E6" w14:textId="77777777" w:rsidR="00FC0B22" w:rsidRPr="00E87E10" w:rsidRDefault="00FC0B22" w:rsidP="00517AF1">
            <w:pPr>
              <w:rPr>
                <w:rFonts w:ascii="Arial" w:eastAsia="Times New Roman" w:hAnsi="Arial" w:cs="Arial"/>
                <w:color w:val="222222"/>
                <w:lang w:eastAsia="en-GB"/>
              </w:rPr>
            </w:pPr>
            <w:r w:rsidRPr="00E87E10">
              <w:rPr>
                <w:rFonts w:ascii="Arial" w:hAnsi="Arial" w:cs="Arial"/>
              </w:rPr>
              <w:t>(b) the total CIL expenditure for the reported year;</w:t>
            </w:r>
          </w:p>
        </w:tc>
        <w:tc>
          <w:tcPr>
            <w:tcW w:w="1132" w:type="dxa"/>
          </w:tcPr>
          <w:p w14:paraId="33ED749B" w14:textId="4848B6ED" w:rsidR="00FC0B22" w:rsidRPr="00E87E10" w:rsidRDefault="00E87E10" w:rsidP="00E87E10">
            <w:pPr>
              <w:jc w:val="center"/>
              <w:rPr>
                <w:rFonts w:ascii="Arial" w:eastAsia="Times New Roman" w:hAnsi="Arial" w:cs="Arial"/>
                <w:color w:val="222222"/>
                <w:lang w:eastAsia="en-GB"/>
              </w:rPr>
            </w:pPr>
            <w:r w:rsidRPr="00E87E10">
              <w:rPr>
                <w:rFonts w:ascii="Arial" w:eastAsia="Times New Roman" w:hAnsi="Arial" w:cs="Arial"/>
                <w:color w:val="222222"/>
                <w:lang w:eastAsia="en-GB"/>
              </w:rPr>
              <w:t>21681.39</w:t>
            </w:r>
          </w:p>
        </w:tc>
      </w:tr>
      <w:tr w:rsidR="00FC0B22" w:rsidRPr="00E87E10" w14:paraId="7021CE04" w14:textId="77777777" w:rsidTr="00D53CBD">
        <w:trPr>
          <w:jc w:val="center"/>
        </w:trPr>
        <w:tc>
          <w:tcPr>
            <w:tcW w:w="6799" w:type="dxa"/>
          </w:tcPr>
          <w:p w14:paraId="701A93EB" w14:textId="77777777" w:rsidR="00FC0B22" w:rsidRPr="00E87E10" w:rsidRDefault="00FC0B22" w:rsidP="00517AF1">
            <w:pPr>
              <w:rPr>
                <w:rFonts w:ascii="Arial" w:eastAsia="Times New Roman" w:hAnsi="Arial" w:cs="Arial"/>
                <w:color w:val="222222"/>
                <w:lang w:eastAsia="en-GB"/>
              </w:rPr>
            </w:pPr>
            <w:r w:rsidRPr="00E87E10">
              <w:rPr>
                <w:rFonts w:ascii="Arial" w:eastAsia="Times New Roman" w:hAnsi="Arial" w:cs="Arial"/>
                <w:color w:val="222222"/>
                <w:lang w:eastAsia="en-GB"/>
              </w:rPr>
              <w:t>(c) summary of CIL expenditure during the reported year including —</w:t>
            </w:r>
          </w:p>
        </w:tc>
        <w:tc>
          <w:tcPr>
            <w:tcW w:w="1132" w:type="dxa"/>
          </w:tcPr>
          <w:p w14:paraId="46A98360" w14:textId="77777777" w:rsidR="00FC0B22" w:rsidRPr="00E87E10" w:rsidRDefault="00FC0B22" w:rsidP="00E87E10">
            <w:pPr>
              <w:jc w:val="center"/>
              <w:rPr>
                <w:rFonts w:ascii="Arial" w:eastAsia="Times New Roman" w:hAnsi="Arial" w:cs="Arial"/>
                <w:color w:val="222222"/>
                <w:lang w:eastAsia="en-GB"/>
              </w:rPr>
            </w:pPr>
          </w:p>
        </w:tc>
      </w:tr>
      <w:tr w:rsidR="00FC0B22" w:rsidRPr="00E87E10" w14:paraId="0D704682" w14:textId="77777777" w:rsidTr="00D53CBD">
        <w:trPr>
          <w:jc w:val="center"/>
        </w:trPr>
        <w:tc>
          <w:tcPr>
            <w:tcW w:w="6799" w:type="dxa"/>
          </w:tcPr>
          <w:p w14:paraId="5BE96EFB" w14:textId="77777777" w:rsidR="00FC0B22" w:rsidRPr="00E87E10" w:rsidRDefault="00FC0B22" w:rsidP="00FC0B22">
            <w:pPr>
              <w:pStyle w:val="ListParagraph"/>
              <w:numPr>
                <w:ilvl w:val="0"/>
                <w:numId w:val="1"/>
              </w:numPr>
              <w:rPr>
                <w:rFonts w:ascii="Arial" w:eastAsia="Times New Roman" w:hAnsi="Arial" w:cs="Arial"/>
                <w:color w:val="222222"/>
                <w:lang w:eastAsia="en-GB"/>
              </w:rPr>
            </w:pPr>
            <w:r w:rsidRPr="00E87E10">
              <w:rPr>
                <w:rFonts w:ascii="Arial" w:eastAsia="Times New Roman" w:hAnsi="Arial" w:cs="Arial"/>
                <w:color w:val="222222"/>
                <w:lang w:eastAsia="en-GB"/>
              </w:rPr>
              <w:t>the items to which CIL has been applied; and</w:t>
            </w:r>
          </w:p>
        </w:tc>
        <w:tc>
          <w:tcPr>
            <w:tcW w:w="1132" w:type="dxa"/>
          </w:tcPr>
          <w:p w14:paraId="25537305" w14:textId="77777777" w:rsidR="00FC0B22" w:rsidRPr="00E87E10" w:rsidRDefault="00FC0B22" w:rsidP="00E87E10">
            <w:pPr>
              <w:jc w:val="center"/>
              <w:rPr>
                <w:rFonts w:ascii="Arial" w:eastAsia="Times New Roman" w:hAnsi="Arial" w:cs="Arial"/>
                <w:color w:val="222222"/>
                <w:lang w:eastAsia="en-GB"/>
              </w:rPr>
            </w:pPr>
          </w:p>
        </w:tc>
      </w:tr>
      <w:tr w:rsidR="00FC0B22" w:rsidRPr="00E87E10" w14:paraId="7051081D" w14:textId="77777777" w:rsidTr="00D53CBD">
        <w:trPr>
          <w:jc w:val="center"/>
        </w:trPr>
        <w:tc>
          <w:tcPr>
            <w:tcW w:w="6799" w:type="dxa"/>
          </w:tcPr>
          <w:p w14:paraId="274DABD7" w14:textId="77777777" w:rsidR="00FC0B22" w:rsidRPr="00E87E10" w:rsidRDefault="00FC0B22" w:rsidP="00FC0B22">
            <w:pPr>
              <w:pStyle w:val="ListParagraph"/>
              <w:numPr>
                <w:ilvl w:val="0"/>
                <w:numId w:val="1"/>
              </w:numPr>
              <w:rPr>
                <w:rFonts w:ascii="Arial" w:eastAsia="Times New Roman" w:hAnsi="Arial" w:cs="Arial"/>
                <w:color w:val="222222"/>
                <w:lang w:eastAsia="en-GB"/>
              </w:rPr>
            </w:pPr>
            <w:r w:rsidRPr="00E87E10">
              <w:rPr>
                <w:rFonts w:ascii="Arial" w:eastAsia="Times New Roman" w:hAnsi="Arial" w:cs="Arial"/>
                <w:color w:val="222222"/>
                <w:lang w:eastAsia="en-GB"/>
              </w:rPr>
              <w:t>the amount of CIL expenditure on each item; and</w:t>
            </w:r>
          </w:p>
        </w:tc>
        <w:tc>
          <w:tcPr>
            <w:tcW w:w="1132" w:type="dxa"/>
          </w:tcPr>
          <w:p w14:paraId="69C61CF0" w14:textId="6025614A" w:rsidR="00FC0B22" w:rsidRPr="00E87E10" w:rsidRDefault="00E87E10" w:rsidP="00E87E10">
            <w:pPr>
              <w:jc w:val="center"/>
              <w:rPr>
                <w:rFonts w:ascii="Arial" w:eastAsia="Times New Roman" w:hAnsi="Arial" w:cs="Arial"/>
                <w:color w:val="222222"/>
                <w:lang w:eastAsia="en-GB"/>
              </w:rPr>
            </w:pPr>
            <w:r w:rsidRPr="00E87E10">
              <w:rPr>
                <w:rFonts w:ascii="Arial" w:eastAsia="Times New Roman" w:hAnsi="Arial" w:cs="Arial"/>
                <w:color w:val="222222"/>
                <w:lang w:eastAsia="en-GB"/>
              </w:rPr>
              <w:t>21681.39</w:t>
            </w:r>
          </w:p>
        </w:tc>
      </w:tr>
      <w:tr w:rsidR="00FC0B22" w:rsidRPr="00E87E10" w14:paraId="1658C291" w14:textId="77777777" w:rsidTr="00D53CBD">
        <w:trPr>
          <w:jc w:val="center"/>
        </w:trPr>
        <w:tc>
          <w:tcPr>
            <w:tcW w:w="6799" w:type="dxa"/>
          </w:tcPr>
          <w:p w14:paraId="6FB13412" w14:textId="77777777" w:rsidR="00FC0B22" w:rsidRPr="00E87E10" w:rsidRDefault="00FC0B22" w:rsidP="00517AF1">
            <w:pPr>
              <w:ind w:firstLine="720"/>
              <w:rPr>
                <w:rFonts w:ascii="Arial" w:eastAsia="Times New Roman" w:hAnsi="Arial" w:cs="Arial"/>
                <w:color w:val="222222"/>
                <w:lang w:eastAsia="en-GB"/>
              </w:rPr>
            </w:pPr>
            <w:r w:rsidRPr="00E87E10">
              <w:rPr>
                <w:rFonts w:ascii="Arial" w:eastAsia="Times New Roman" w:hAnsi="Arial" w:cs="Arial"/>
                <w:color w:val="222222"/>
                <w:lang w:eastAsia="en-GB"/>
              </w:rPr>
              <w:t>(d) details of any notices received in accordance with regulation 59E, including —</w:t>
            </w:r>
          </w:p>
        </w:tc>
        <w:tc>
          <w:tcPr>
            <w:tcW w:w="1132" w:type="dxa"/>
          </w:tcPr>
          <w:p w14:paraId="7C279A56" w14:textId="77777777" w:rsidR="00FC0B22" w:rsidRPr="00E87E10" w:rsidRDefault="00FC0B22" w:rsidP="00E87E10">
            <w:pPr>
              <w:jc w:val="center"/>
              <w:rPr>
                <w:rFonts w:ascii="Arial" w:eastAsia="Times New Roman" w:hAnsi="Arial" w:cs="Arial"/>
                <w:color w:val="222222"/>
                <w:lang w:eastAsia="en-GB"/>
              </w:rPr>
            </w:pPr>
          </w:p>
        </w:tc>
      </w:tr>
      <w:tr w:rsidR="00FC0B22" w:rsidRPr="00E87E10" w14:paraId="20C7ED9F" w14:textId="77777777" w:rsidTr="00D53CBD">
        <w:trPr>
          <w:jc w:val="center"/>
        </w:trPr>
        <w:tc>
          <w:tcPr>
            <w:tcW w:w="6799" w:type="dxa"/>
          </w:tcPr>
          <w:p w14:paraId="662CE8C0" w14:textId="77777777" w:rsidR="00FC0B22" w:rsidRPr="00E87E10" w:rsidRDefault="00FC0B22" w:rsidP="00FC0B22">
            <w:pPr>
              <w:pStyle w:val="ListParagraph"/>
              <w:numPr>
                <w:ilvl w:val="0"/>
                <w:numId w:val="3"/>
              </w:numPr>
              <w:rPr>
                <w:rFonts w:ascii="Arial" w:eastAsia="Times New Roman" w:hAnsi="Arial" w:cs="Arial"/>
                <w:color w:val="222222"/>
                <w:lang w:eastAsia="en-GB"/>
              </w:rPr>
            </w:pPr>
            <w:r w:rsidRPr="00E87E10">
              <w:rPr>
                <w:rFonts w:ascii="Arial" w:eastAsia="Times New Roman" w:hAnsi="Arial" w:cs="Arial"/>
                <w:color w:val="222222"/>
                <w:lang w:eastAsia="en-GB"/>
              </w:rPr>
              <w:t>the total value of CIL receipts subject to notices served in accordance with regulation 59E during the reported year;</w:t>
            </w:r>
          </w:p>
        </w:tc>
        <w:tc>
          <w:tcPr>
            <w:tcW w:w="1132" w:type="dxa"/>
          </w:tcPr>
          <w:p w14:paraId="63E9F0CE" w14:textId="4C4ACD16" w:rsidR="00FC0B22" w:rsidRPr="00E87E10" w:rsidRDefault="00E87E10" w:rsidP="00E87E10">
            <w:pPr>
              <w:jc w:val="center"/>
              <w:rPr>
                <w:rFonts w:ascii="Arial" w:eastAsia="Times New Roman" w:hAnsi="Arial" w:cs="Arial"/>
                <w:color w:val="222222"/>
                <w:lang w:eastAsia="en-GB"/>
              </w:rPr>
            </w:pPr>
            <w:r w:rsidRPr="00E87E10">
              <w:rPr>
                <w:rFonts w:ascii="Arial" w:eastAsia="Times New Roman" w:hAnsi="Arial" w:cs="Arial"/>
                <w:color w:val="222222"/>
                <w:lang w:eastAsia="en-GB"/>
              </w:rPr>
              <w:t>0.00</w:t>
            </w:r>
          </w:p>
        </w:tc>
      </w:tr>
      <w:tr w:rsidR="00FC0B22" w:rsidRPr="00E87E10" w14:paraId="641F9C5C" w14:textId="77777777" w:rsidTr="00D53CBD">
        <w:trPr>
          <w:jc w:val="center"/>
        </w:trPr>
        <w:tc>
          <w:tcPr>
            <w:tcW w:w="6799" w:type="dxa"/>
          </w:tcPr>
          <w:p w14:paraId="30F3BDFC" w14:textId="77777777" w:rsidR="00FC0B22" w:rsidRPr="00E87E10" w:rsidRDefault="00FC0B22" w:rsidP="00FC0B22">
            <w:pPr>
              <w:pStyle w:val="ListParagraph"/>
              <w:numPr>
                <w:ilvl w:val="0"/>
                <w:numId w:val="3"/>
              </w:numPr>
              <w:rPr>
                <w:rFonts w:ascii="Arial" w:eastAsia="Times New Roman" w:hAnsi="Arial" w:cs="Arial"/>
                <w:color w:val="222222"/>
                <w:lang w:eastAsia="en-GB"/>
              </w:rPr>
            </w:pPr>
            <w:r w:rsidRPr="00E87E10">
              <w:rPr>
                <w:rFonts w:ascii="Arial" w:eastAsia="Times New Roman" w:hAnsi="Arial" w:cs="Arial"/>
                <w:color w:val="222222"/>
                <w:lang w:eastAsia="en-GB"/>
              </w:rPr>
              <w:t xml:space="preserve">the total value of CIL receipts subject to a notice served in accordance with regulation 59E in any year that has </w:t>
            </w:r>
            <w:r w:rsidRPr="00E87E10">
              <w:rPr>
                <w:rFonts w:ascii="Arial" w:eastAsia="Times New Roman" w:hAnsi="Arial" w:cs="Arial"/>
                <w:color w:val="222222"/>
                <w:lang w:eastAsia="en-GB"/>
              </w:rPr>
              <w:lastRenderedPageBreak/>
              <w:t>not been paid to the relevant charging authority by the end of the reported year.</w:t>
            </w:r>
          </w:p>
        </w:tc>
        <w:tc>
          <w:tcPr>
            <w:tcW w:w="1132" w:type="dxa"/>
          </w:tcPr>
          <w:p w14:paraId="11CC427E" w14:textId="65FFCA25" w:rsidR="00FC0B22" w:rsidRPr="00E87E10" w:rsidRDefault="00E87E10" w:rsidP="00E87E10">
            <w:pPr>
              <w:jc w:val="center"/>
              <w:rPr>
                <w:rFonts w:ascii="Arial" w:eastAsia="Times New Roman" w:hAnsi="Arial" w:cs="Arial"/>
                <w:color w:val="222222"/>
                <w:lang w:eastAsia="en-GB"/>
              </w:rPr>
            </w:pPr>
            <w:r w:rsidRPr="00E87E10">
              <w:rPr>
                <w:rFonts w:ascii="Arial" w:eastAsia="Times New Roman" w:hAnsi="Arial" w:cs="Arial"/>
                <w:color w:val="222222"/>
                <w:lang w:eastAsia="en-GB"/>
              </w:rPr>
              <w:lastRenderedPageBreak/>
              <w:t>0.00</w:t>
            </w:r>
          </w:p>
        </w:tc>
      </w:tr>
      <w:tr w:rsidR="00FC0B22" w:rsidRPr="00E87E10" w14:paraId="459FDB56" w14:textId="77777777" w:rsidTr="00D53CBD">
        <w:trPr>
          <w:jc w:val="center"/>
        </w:trPr>
        <w:tc>
          <w:tcPr>
            <w:tcW w:w="6799" w:type="dxa"/>
          </w:tcPr>
          <w:p w14:paraId="2BBE654B" w14:textId="77777777" w:rsidR="00FC0B22" w:rsidRPr="00E87E10" w:rsidRDefault="00FC0B22" w:rsidP="00517AF1">
            <w:pPr>
              <w:rPr>
                <w:rFonts w:ascii="Arial" w:eastAsia="Times New Roman" w:hAnsi="Arial" w:cs="Arial"/>
                <w:color w:val="222222"/>
                <w:lang w:eastAsia="en-GB"/>
              </w:rPr>
            </w:pPr>
            <w:r w:rsidRPr="00E87E10">
              <w:rPr>
                <w:rFonts w:ascii="Arial" w:eastAsia="Times New Roman" w:hAnsi="Arial" w:cs="Arial"/>
                <w:color w:val="222222"/>
                <w:lang w:eastAsia="en-GB"/>
              </w:rPr>
              <w:t>(e) the total amount of —</w:t>
            </w:r>
          </w:p>
        </w:tc>
        <w:tc>
          <w:tcPr>
            <w:tcW w:w="1132" w:type="dxa"/>
          </w:tcPr>
          <w:p w14:paraId="4240A8FD" w14:textId="77777777" w:rsidR="00FC0B22" w:rsidRPr="00E87E10" w:rsidRDefault="00FC0B22" w:rsidP="00E87E10">
            <w:pPr>
              <w:jc w:val="center"/>
              <w:rPr>
                <w:rFonts w:ascii="Arial" w:eastAsia="Times New Roman" w:hAnsi="Arial" w:cs="Arial"/>
                <w:color w:val="222222"/>
                <w:lang w:eastAsia="en-GB"/>
              </w:rPr>
            </w:pPr>
          </w:p>
        </w:tc>
      </w:tr>
      <w:tr w:rsidR="00FC0B22" w:rsidRPr="00E87E10" w14:paraId="26BB6087" w14:textId="77777777" w:rsidTr="00D53CBD">
        <w:trPr>
          <w:jc w:val="center"/>
        </w:trPr>
        <w:tc>
          <w:tcPr>
            <w:tcW w:w="6799" w:type="dxa"/>
          </w:tcPr>
          <w:p w14:paraId="20AE3B86" w14:textId="77777777" w:rsidR="00FC0B22" w:rsidRPr="00E87E10" w:rsidRDefault="00FC0B22" w:rsidP="00FC0B22">
            <w:pPr>
              <w:pStyle w:val="ListParagraph"/>
              <w:numPr>
                <w:ilvl w:val="0"/>
                <w:numId w:val="4"/>
              </w:numPr>
              <w:rPr>
                <w:rFonts w:ascii="Arial" w:eastAsia="Times New Roman" w:hAnsi="Arial" w:cs="Arial"/>
                <w:color w:val="222222"/>
                <w:lang w:eastAsia="en-GB"/>
              </w:rPr>
            </w:pPr>
            <w:r w:rsidRPr="00E87E10">
              <w:rPr>
                <w:rFonts w:ascii="Arial" w:eastAsia="Times New Roman" w:hAnsi="Arial" w:cs="Arial"/>
                <w:color w:val="222222"/>
                <w:lang w:eastAsia="en-GB"/>
              </w:rPr>
              <w:t>CIL receipts for the reported year retained at the end of the reported year; and</w:t>
            </w:r>
          </w:p>
        </w:tc>
        <w:tc>
          <w:tcPr>
            <w:tcW w:w="1132" w:type="dxa"/>
          </w:tcPr>
          <w:p w14:paraId="6C783A4A" w14:textId="77777777" w:rsidR="00E87E10" w:rsidRPr="00E87E10" w:rsidRDefault="00E87E10" w:rsidP="00E87E10">
            <w:pPr>
              <w:jc w:val="center"/>
              <w:rPr>
                <w:rFonts w:ascii="Arial" w:hAnsi="Arial" w:cs="Arial"/>
                <w:color w:val="000000"/>
              </w:rPr>
            </w:pPr>
            <w:r w:rsidRPr="00E87E10">
              <w:rPr>
                <w:rFonts w:ascii="Arial" w:hAnsi="Arial" w:cs="Arial"/>
                <w:color w:val="000000"/>
              </w:rPr>
              <w:t>5,834.14</w:t>
            </w:r>
          </w:p>
          <w:p w14:paraId="572E4FE1" w14:textId="77777777" w:rsidR="00FC0B22" w:rsidRPr="00E87E10" w:rsidRDefault="00FC0B22" w:rsidP="00E87E10">
            <w:pPr>
              <w:jc w:val="center"/>
              <w:rPr>
                <w:rFonts w:ascii="Arial" w:eastAsia="Times New Roman" w:hAnsi="Arial" w:cs="Arial"/>
                <w:color w:val="222222"/>
                <w:lang w:eastAsia="en-GB"/>
              </w:rPr>
            </w:pPr>
          </w:p>
        </w:tc>
      </w:tr>
      <w:tr w:rsidR="00FC0B22" w:rsidRPr="00E87E10" w14:paraId="29960E46" w14:textId="77777777" w:rsidTr="00D53CBD">
        <w:trPr>
          <w:jc w:val="center"/>
        </w:trPr>
        <w:tc>
          <w:tcPr>
            <w:tcW w:w="6799" w:type="dxa"/>
          </w:tcPr>
          <w:p w14:paraId="7D72E332" w14:textId="77777777" w:rsidR="00FC0B22" w:rsidRPr="00E87E10" w:rsidRDefault="00FC0B22" w:rsidP="00FC0B22">
            <w:pPr>
              <w:pStyle w:val="ListParagraph"/>
              <w:numPr>
                <w:ilvl w:val="0"/>
                <w:numId w:val="4"/>
              </w:numPr>
              <w:rPr>
                <w:rFonts w:ascii="Arial" w:eastAsia="Times New Roman" w:hAnsi="Arial" w:cs="Arial"/>
                <w:color w:val="222222"/>
                <w:lang w:eastAsia="en-GB"/>
              </w:rPr>
            </w:pPr>
            <w:r w:rsidRPr="00E87E10">
              <w:rPr>
                <w:rFonts w:ascii="Arial" w:eastAsia="Times New Roman" w:hAnsi="Arial" w:cs="Arial"/>
                <w:color w:val="222222"/>
                <w:lang w:eastAsia="en-GB"/>
              </w:rPr>
              <w:t>CIL receipts from previous years retained at the end of the reported year.</w:t>
            </w:r>
          </w:p>
        </w:tc>
        <w:tc>
          <w:tcPr>
            <w:tcW w:w="1132" w:type="dxa"/>
          </w:tcPr>
          <w:p w14:paraId="3B82F24B" w14:textId="0359948A" w:rsidR="00FC0B22" w:rsidRPr="00E87E10" w:rsidRDefault="00E87E10" w:rsidP="00E87E10">
            <w:pPr>
              <w:jc w:val="center"/>
              <w:rPr>
                <w:rFonts w:ascii="Arial" w:eastAsia="Times New Roman" w:hAnsi="Arial" w:cs="Arial"/>
                <w:color w:val="222222"/>
                <w:lang w:eastAsia="en-GB"/>
              </w:rPr>
            </w:pPr>
            <w:r w:rsidRPr="00E87E10">
              <w:rPr>
                <w:rFonts w:ascii="Arial" w:eastAsia="Times New Roman" w:hAnsi="Arial" w:cs="Arial"/>
                <w:color w:val="222222"/>
                <w:lang w:eastAsia="en-GB"/>
              </w:rPr>
              <w:t>0.00</w:t>
            </w:r>
          </w:p>
        </w:tc>
      </w:tr>
    </w:tbl>
    <w:p w14:paraId="7CAE63E6" w14:textId="77777777" w:rsidR="003B0ED8" w:rsidRPr="00E87E10" w:rsidRDefault="00D53CBD">
      <w:pPr>
        <w:rPr>
          <w:rFonts w:ascii="Arial" w:hAnsi="Arial" w:cs="Arial"/>
        </w:rPr>
      </w:pPr>
      <w:r w:rsidRPr="00E87E10">
        <w:rPr>
          <w:rFonts w:ascii="Arial" w:hAnsi="Arial" w:cs="Arial"/>
        </w:rPr>
        <w:t xml:space="preserve">See next </w:t>
      </w:r>
      <w:proofErr w:type="gramStart"/>
      <w:r w:rsidRPr="00E87E10">
        <w:rPr>
          <w:rFonts w:ascii="Arial" w:hAnsi="Arial" w:cs="Arial"/>
        </w:rPr>
        <w:t>page</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6521"/>
      </w:tblGrid>
      <w:tr w:rsidR="004D4057" w:rsidRPr="00E87E10" w14:paraId="0D8F87CD" w14:textId="77777777" w:rsidTr="004D4057">
        <w:trPr>
          <w:trHeight w:val="304"/>
          <w:jc w:val="center"/>
        </w:trPr>
        <w:tc>
          <w:tcPr>
            <w:tcW w:w="8784" w:type="dxa"/>
            <w:gridSpan w:val="2"/>
          </w:tcPr>
          <w:p w14:paraId="493B71E7" w14:textId="77777777" w:rsidR="004D4057" w:rsidRPr="00E87E10" w:rsidRDefault="004D4057" w:rsidP="00CC1C15">
            <w:pPr>
              <w:spacing w:after="0"/>
              <w:rPr>
                <w:rFonts w:ascii="Arial" w:hAnsi="Arial" w:cs="Arial"/>
              </w:rPr>
            </w:pPr>
            <w:r w:rsidRPr="00E87E10">
              <w:rPr>
                <w:rFonts w:ascii="Arial" w:hAnsi="Arial" w:cs="Arial"/>
              </w:rPr>
              <w:t>Please specify any spend below:</w:t>
            </w:r>
          </w:p>
          <w:p w14:paraId="088D94CC" w14:textId="77777777" w:rsidR="00CC1C15" w:rsidRPr="00E87E10" w:rsidRDefault="00CC1C15" w:rsidP="00CC1C15">
            <w:pPr>
              <w:spacing w:after="0"/>
              <w:rPr>
                <w:rFonts w:ascii="Arial" w:hAnsi="Arial" w:cs="Arial"/>
              </w:rPr>
            </w:pPr>
            <w:r w:rsidRPr="00E87E10">
              <w:rPr>
                <w:rFonts w:ascii="Arial" w:hAnsi="Arial" w:cs="Arial"/>
              </w:rPr>
              <w:t>In accordance with Regulation 62A</w:t>
            </w:r>
            <w:r w:rsidR="00C87628" w:rsidRPr="00E87E10">
              <w:rPr>
                <w:rFonts w:ascii="Arial" w:hAnsi="Arial" w:cs="Arial"/>
              </w:rPr>
              <w:t>.(2)</w:t>
            </w:r>
            <w:r w:rsidRPr="00E87E10">
              <w:rPr>
                <w:rFonts w:ascii="Arial" w:hAnsi="Arial" w:cs="Arial"/>
              </w:rPr>
              <w:t>(c)</w:t>
            </w:r>
          </w:p>
          <w:p w14:paraId="3A91FC79" w14:textId="77777777" w:rsidR="00CC1C15" w:rsidRPr="00E87E10" w:rsidRDefault="00CC1C15" w:rsidP="00CC1C15">
            <w:pPr>
              <w:spacing w:after="0"/>
              <w:rPr>
                <w:rFonts w:ascii="Arial" w:hAnsi="Arial" w:cs="Arial"/>
              </w:rPr>
            </w:pPr>
          </w:p>
        </w:tc>
      </w:tr>
      <w:tr w:rsidR="004D4057" w:rsidRPr="00E87E10" w14:paraId="39364296" w14:textId="77777777" w:rsidTr="004D4057">
        <w:trPr>
          <w:trHeight w:val="422"/>
          <w:jc w:val="center"/>
        </w:trPr>
        <w:tc>
          <w:tcPr>
            <w:tcW w:w="2263" w:type="dxa"/>
          </w:tcPr>
          <w:p w14:paraId="56596EC8" w14:textId="5CF00FA1" w:rsidR="004D4057" w:rsidRPr="00E87E10" w:rsidRDefault="004D4057" w:rsidP="003B0ED8">
            <w:pPr>
              <w:rPr>
                <w:rFonts w:ascii="Arial" w:hAnsi="Arial" w:cs="Arial"/>
              </w:rPr>
            </w:pPr>
            <w:r w:rsidRPr="00E87E10">
              <w:rPr>
                <w:rFonts w:ascii="Arial" w:hAnsi="Arial" w:cs="Arial"/>
              </w:rPr>
              <w:t>Amount:</w:t>
            </w:r>
            <w:r w:rsidR="00E87E10">
              <w:rPr>
                <w:rFonts w:ascii="Arial" w:hAnsi="Arial" w:cs="Arial"/>
              </w:rPr>
              <w:t xml:space="preserve"> </w:t>
            </w:r>
            <w:r w:rsidR="00E87E10" w:rsidRPr="00E87E10">
              <w:rPr>
                <w:rFonts w:ascii="Arial" w:eastAsia="Times New Roman" w:hAnsi="Arial" w:cs="Arial"/>
                <w:color w:val="222222"/>
                <w:lang w:eastAsia="en-GB"/>
              </w:rPr>
              <w:t>21681.39</w:t>
            </w:r>
          </w:p>
        </w:tc>
        <w:tc>
          <w:tcPr>
            <w:tcW w:w="6521" w:type="dxa"/>
          </w:tcPr>
          <w:p w14:paraId="3FFBC80C" w14:textId="4A104007" w:rsidR="004D4057" w:rsidRPr="00E87E10" w:rsidRDefault="004D4057" w:rsidP="003B0ED8">
            <w:pPr>
              <w:rPr>
                <w:rFonts w:ascii="Arial" w:hAnsi="Arial" w:cs="Arial"/>
              </w:rPr>
            </w:pPr>
            <w:r w:rsidRPr="00E87E10">
              <w:rPr>
                <w:rFonts w:ascii="Arial" w:hAnsi="Arial" w:cs="Arial"/>
              </w:rPr>
              <w:t>Spent on:</w:t>
            </w:r>
            <w:r w:rsidR="00E87E10">
              <w:rPr>
                <w:rFonts w:ascii="Arial" w:hAnsi="Arial" w:cs="Arial"/>
              </w:rPr>
              <w:t xml:space="preserve"> </w:t>
            </w:r>
            <w:r w:rsidR="00E87E10">
              <w:rPr>
                <w:rFonts w:ascii="Arial" w:hAnsi="Arial" w:cs="Arial"/>
                <w:sz w:val="20"/>
              </w:rPr>
              <w:t>Supporting the building of meeting space at St Peters rebuild</w:t>
            </w:r>
          </w:p>
        </w:tc>
      </w:tr>
      <w:tr w:rsidR="004D4057" w:rsidRPr="00E87E10" w14:paraId="3A290B51" w14:textId="77777777" w:rsidTr="004D4057">
        <w:trPr>
          <w:trHeight w:val="270"/>
          <w:jc w:val="center"/>
        </w:trPr>
        <w:tc>
          <w:tcPr>
            <w:tcW w:w="2263" w:type="dxa"/>
          </w:tcPr>
          <w:p w14:paraId="71A5403E" w14:textId="77777777" w:rsidR="004D4057" w:rsidRPr="00E87E10" w:rsidRDefault="004D4057" w:rsidP="003B0ED8">
            <w:pPr>
              <w:rPr>
                <w:rFonts w:ascii="Arial" w:hAnsi="Arial" w:cs="Arial"/>
              </w:rPr>
            </w:pPr>
            <w:r w:rsidRPr="00E87E10">
              <w:rPr>
                <w:rFonts w:ascii="Arial" w:hAnsi="Arial" w:cs="Arial"/>
              </w:rPr>
              <w:t>Amount:</w:t>
            </w:r>
          </w:p>
        </w:tc>
        <w:tc>
          <w:tcPr>
            <w:tcW w:w="6521" w:type="dxa"/>
          </w:tcPr>
          <w:p w14:paraId="6B9E7CDD" w14:textId="77777777" w:rsidR="004D4057" w:rsidRPr="00E87E10" w:rsidRDefault="004D4057" w:rsidP="003B0ED8">
            <w:pPr>
              <w:rPr>
                <w:rFonts w:ascii="Arial" w:hAnsi="Arial" w:cs="Arial"/>
              </w:rPr>
            </w:pPr>
            <w:r w:rsidRPr="00E87E10">
              <w:rPr>
                <w:rFonts w:ascii="Arial" w:hAnsi="Arial" w:cs="Arial"/>
              </w:rPr>
              <w:t>Spent on:</w:t>
            </w:r>
          </w:p>
        </w:tc>
      </w:tr>
      <w:tr w:rsidR="004D4057" w:rsidRPr="00E87E10" w14:paraId="1577CD96" w14:textId="77777777" w:rsidTr="004D4057">
        <w:trPr>
          <w:trHeight w:val="194"/>
          <w:jc w:val="center"/>
        </w:trPr>
        <w:tc>
          <w:tcPr>
            <w:tcW w:w="2263" w:type="dxa"/>
          </w:tcPr>
          <w:p w14:paraId="53A404F5" w14:textId="77777777" w:rsidR="004D4057" w:rsidRPr="00E87E10" w:rsidRDefault="004D4057" w:rsidP="003B0ED8">
            <w:pPr>
              <w:rPr>
                <w:rFonts w:ascii="Arial" w:hAnsi="Arial" w:cs="Arial"/>
              </w:rPr>
            </w:pPr>
            <w:r w:rsidRPr="00E87E10">
              <w:rPr>
                <w:rFonts w:ascii="Arial" w:hAnsi="Arial" w:cs="Arial"/>
              </w:rPr>
              <w:t>Amount:</w:t>
            </w:r>
          </w:p>
        </w:tc>
        <w:tc>
          <w:tcPr>
            <w:tcW w:w="6521" w:type="dxa"/>
          </w:tcPr>
          <w:p w14:paraId="565EFF5F" w14:textId="77777777" w:rsidR="004D4057" w:rsidRPr="00E87E10" w:rsidRDefault="004D4057" w:rsidP="003B0ED8">
            <w:pPr>
              <w:rPr>
                <w:rFonts w:ascii="Arial" w:hAnsi="Arial" w:cs="Arial"/>
              </w:rPr>
            </w:pPr>
            <w:r w:rsidRPr="00E87E10">
              <w:rPr>
                <w:rFonts w:ascii="Arial" w:hAnsi="Arial" w:cs="Arial"/>
              </w:rPr>
              <w:t>Spent on:</w:t>
            </w:r>
          </w:p>
        </w:tc>
      </w:tr>
    </w:tbl>
    <w:p w14:paraId="3016A073" w14:textId="77777777" w:rsidR="00CC1C15" w:rsidRPr="00E87E10" w:rsidRDefault="00CC1C15" w:rsidP="00D53CBD">
      <w:pPr>
        <w:rPr>
          <w:rFonts w:ascii="Arial" w:hAnsi="Arial" w:cs="Arial"/>
        </w:rPr>
      </w:pPr>
    </w:p>
    <w:p w14:paraId="6F163504" w14:textId="77777777" w:rsidR="00CC1C15" w:rsidRPr="00E87E10" w:rsidRDefault="00CC1C15" w:rsidP="00D53CBD">
      <w:pPr>
        <w:rPr>
          <w:rFonts w:ascii="Arial" w:hAnsi="Arial" w:cs="Arial"/>
        </w:rPr>
      </w:pPr>
    </w:p>
    <w:sectPr w:rsidR="00CC1C15" w:rsidRPr="00E87E10" w:rsidSect="00D53CB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3DE7"/>
    <w:multiLevelType w:val="hybridMultilevel"/>
    <w:tmpl w:val="7934405A"/>
    <w:lvl w:ilvl="0" w:tplc="16C873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30EA3"/>
    <w:multiLevelType w:val="hybridMultilevel"/>
    <w:tmpl w:val="D592CEFE"/>
    <w:lvl w:ilvl="0" w:tplc="A2EEFC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C2812"/>
    <w:multiLevelType w:val="hybridMultilevel"/>
    <w:tmpl w:val="A94081D8"/>
    <w:lvl w:ilvl="0" w:tplc="3B745B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1D41D5"/>
    <w:multiLevelType w:val="hybridMultilevel"/>
    <w:tmpl w:val="C16A725C"/>
    <w:lvl w:ilvl="0" w:tplc="7E1A531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4916373">
    <w:abstractNumId w:val="1"/>
  </w:num>
  <w:num w:numId="2" w16cid:durableId="1878660893">
    <w:abstractNumId w:val="3"/>
  </w:num>
  <w:num w:numId="3" w16cid:durableId="458307337">
    <w:abstractNumId w:val="0"/>
  </w:num>
  <w:num w:numId="4" w16cid:durableId="675114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22"/>
    <w:rsid w:val="00393917"/>
    <w:rsid w:val="003B0ED8"/>
    <w:rsid w:val="004D4057"/>
    <w:rsid w:val="00552F2A"/>
    <w:rsid w:val="0067554C"/>
    <w:rsid w:val="00BF7719"/>
    <w:rsid w:val="00C87628"/>
    <w:rsid w:val="00CC1C15"/>
    <w:rsid w:val="00CC5AD0"/>
    <w:rsid w:val="00D53CBD"/>
    <w:rsid w:val="00E87E10"/>
    <w:rsid w:val="00FC0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FCF5"/>
  <w15:chartTrackingRefBased/>
  <w15:docId w15:val="{99608440-44D9-4FCF-8AB4-10BE7A0A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B22"/>
    <w:pPr>
      <w:ind w:left="720"/>
      <w:contextualSpacing/>
    </w:pPr>
  </w:style>
  <w:style w:type="character" w:styleId="Hyperlink">
    <w:name w:val="Hyperlink"/>
    <w:basedOn w:val="DefaultParagraphFont"/>
    <w:uiPriority w:val="99"/>
    <w:semiHidden/>
    <w:unhideWhenUsed/>
    <w:rsid w:val="00CC1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5041">
      <w:bodyDiv w:val="1"/>
      <w:marLeft w:val="0"/>
      <w:marRight w:val="0"/>
      <w:marTop w:val="0"/>
      <w:marBottom w:val="0"/>
      <w:divBdr>
        <w:top w:val="none" w:sz="0" w:space="0" w:color="auto"/>
        <w:left w:val="none" w:sz="0" w:space="0" w:color="auto"/>
        <w:bottom w:val="none" w:sz="0" w:space="0" w:color="auto"/>
        <w:right w:val="none" w:sz="0" w:space="0" w:color="auto"/>
      </w:divBdr>
    </w:div>
    <w:div w:id="188521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1/817/made" TargetMode="External"/><Relationship Id="rId3" Type="http://schemas.openxmlformats.org/officeDocument/2006/relationships/settings" Target="settings.xml"/><Relationship Id="rId7" Type="http://schemas.openxmlformats.org/officeDocument/2006/relationships/hyperlink" Target="http://www.legislation.gov.uk/ukpga/1972/70/section/1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3/982/regulation/8/made" TargetMode="External"/><Relationship Id="rId11" Type="http://schemas.openxmlformats.org/officeDocument/2006/relationships/fontTable" Target="fontTable.xml"/><Relationship Id="rId5" Type="http://schemas.openxmlformats.org/officeDocument/2006/relationships/hyperlink" Target="http://www.legislation.gov.uk/uksi/2013/982/regulation/8/made" TargetMode="External"/><Relationship Id="rId10" Type="http://schemas.openxmlformats.org/officeDocument/2006/relationships/hyperlink" Target="http://www.legislation.gov.uk/uksi/2013/982/regulation/8/made" TargetMode="External"/><Relationship Id="rId4" Type="http://schemas.openxmlformats.org/officeDocument/2006/relationships/webSettings" Target="webSettings.xml"/><Relationship Id="rId9" Type="http://schemas.openxmlformats.org/officeDocument/2006/relationships/hyperlink" Target="http://www.legislation.gov.uk/wsi/2005/368/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Reay, Charlotte</dc:creator>
  <cp:keywords/>
  <dc:description/>
  <cp:lastModifiedBy>Becky French</cp:lastModifiedBy>
  <cp:revision>2</cp:revision>
  <dcterms:created xsi:type="dcterms:W3CDTF">2023-10-19T09:41:00Z</dcterms:created>
  <dcterms:modified xsi:type="dcterms:W3CDTF">2023-10-19T09:41:00Z</dcterms:modified>
</cp:coreProperties>
</file>